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FF7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0" w:afterLines="50"/>
        <w:ind w:firstLine="0" w:firstLineChars="0"/>
        <w:jc w:val="center"/>
        <w:textAlignment w:val="auto"/>
        <w:rPr>
          <w:rFonts w:eastAsia="方正小标宋简体" w:cs="Times New Roman"/>
        </w:rPr>
      </w:pPr>
      <w:r>
        <w:rPr>
          <w:rFonts w:hint="eastAsia" w:eastAsia="方正小标宋简体" w:cs="Times New Roman"/>
          <w:sz w:val="44"/>
          <w:szCs w:val="44"/>
        </w:rPr>
        <w:t>制造业项目重点支持赛道</w:t>
      </w:r>
    </w:p>
    <w:tbl>
      <w:tblPr>
        <w:tblStyle w:val="5"/>
        <w:tblW w:w="84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8"/>
        <w:gridCol w:w="6461"/>
      </w:tblGrid>
      <w:tr w14:paraId="08F6B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9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19EE04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eastAsia="方正黑体简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方正黑体简体" w:cs="Times New Roman"/>
                <w:kern w:val="0"/>
                <w:sz w:val="24"/>
                <w:szCs w:val="24"/>
                <w:lang w:val="en-US" w:eastAsia="zh-CN"/>
              </w:rPr>
              <w:t>主赛道</w:t>
            </w:r>
          </w:p>
        </w:tc>
        <w:tc>
          <w:tcPr>
            <w:tcW w:w="64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D0EBE7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eastAsia="方正黑体简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eastAsia="方正黑体简体" w:cs="Times New Roman"/>
                <w:kern w:val="0"/>
                <w:sz w:val="24"/>
                <w:szCs w:val="24"/>
              </w:rPr>
              <w:t>重点支持</w:t>
            </w:r>
            <w:r>
              <w:rPr>
                <w:rFonts w:hint="eastAsia" w:eastAsia="方正黑体简体" w:cs="Times New Roman"/>
                <w:kern w:val="0"/>
                <w:sz w:val="24"/>
                <w:szCs w:val="24"/>
                <w:lang w:val="en-US" w:eastAsia="zh-CN"/>
              </w:rPr>
              <w:t>方向</w:t>
            </w:r>
          </w:p>
        </w:tc>
      </w:tr>
      <w:tr w14:paraId="101FD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9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52A08D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数字产业</w:t>
            </w:r>
          </w:p>
        </w:tc>
        <w:tc>
          <w:tcPr>
            <w:tcW w:w="64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527358">
            <w:pPr>
              <w:snapToGrid w:val="0"/>
              <w:spacing w:line="240" w:lineRule="auto"/>
              <w:ind w:firstLine="0" w:firstLineChars="0"/>
              <w:rPr>
                <w:rFonts w:hint="default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集成电路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人工智能、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智能物联、工业软件（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含嵌入式软件、行业应用软件、新兴技术软件、开源软件等）、新型通信网络、先进计算、元宇宙、柔性电子等。</w:t>
            </w:r>
          </w:p>
        </w:tc>
      </w:tr>
      <w:tr w14:paraId="263A4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  <w:jc w:val="center"/>
        </w:trPr>
        <w:tc>
          <w:tcPr>
            <w:tcW w:w="19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105960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绿色石化</w:t>
            </w:r>
          </w:p>
        </w:tc>
        <w:tc>
          <w:tcPr>
            <w:tcW w:w="64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97C3AB">
            <w:pPr>
              <w:snapToGrid w:val="0"/>
              <w:spacing w:line="240" w:lineRule="auto"/>
              <w:ind w:firstLine="0" w:firstLineChars="0"/>
              <w:rPr>
                <w:rFonts w:hint="eastAsia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高性能涂料、医用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高分子材料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、聚酰亚胺基板材料、芯片封装用电子级环氧树脂及其单体、芯片用超净高纯酸/碱/无机溶液、高强高模碳纤维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先进化工材料制备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 w14:paraId="2C066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9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4D41DA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eastAsia="方正仿宋简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高端装备</w:t>
            </w:r>
          </w:p>
        </w:tc>
        <w:tc>
          <w:tcPr>
            <w:tcW w:w="64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45EF9F">
            <w:pPr>
              <w:snapToGrid w:val="0"/>
              <w:spacing w:line="240" w:lineRule="auto"/>
              <w:ind w:firstLine="0" w:firstLineChars="0"/>
              <w:rPr>
                <w:rFonts w:hint="default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人形机器人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、低空经济（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低空飞行器核心零部件和整机制造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）、新能源与智能网联汽车、工业母机、特种装备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等。</w:t>
            </w:r>
          </w:p>
        </w:tc>
      </w:tr>
      <w:tr w14:paraId="7572D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9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901748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新型功能材料</w:t>
            </w:r>
          </w:p>
        </w:tc>
        <w:tc>
          <w:tcPr>
            <w:tcW w:w="64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AEF828">
            <w:pPr>
              <w:snapToGrid w:val="0"/>
              <w:spacing w:line="240" w:lineRule="auto"/>
              <w:ind w:firstLine="0" w:firstLineChars="0"/>
              <w:rPr>
                <w:rFonts w:hint="default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稀土磁性材料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、高端金属材料、膜材料、石墨烯、第三代半导体材料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以及其他先进材料制备。</w:t>
            </w:r>
          </w:p>
        </w:tc>
      </w:tr>
      <w:tr w14:paraId="72586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9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85B642">
            <w:pPr>
              <w:snapToGrid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新能源</w:t>
            </w:r>
          </w:p>
        </w:tc>
        <w:tc>
          <w:tcPr>
            <w:tcW w:w="64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64DDB7">
            <w:pPr>
              <w:snapToGrid w:val="0"/>
              <w:spacing w:line="240" w:lineRule="auto"/>
              <w:ind w:firstLine="0" w:firstLineChars="0"/>
              <w:rPr>
                <w:rFonts w:hint="eastAsia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智能光伏、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风电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氢能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核电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等。</w:t>
            </w:r>
          </w:p>
        </w:tc>
      </w:tr>
      <w:tr w14:paraId="0BD05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9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516EB5">
            <w:pPr>
              <w:snapToGrid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关键基础件</w:t>
            </w:r>
          </w:p>
        </w:tc>
        <w:tc>
          <w:tcPr>
            <w:tcW w:w="64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6AA1DB">
            <w:pPr>
              <w:snapToGrid w:val="0"/>
              <w:spacing w:line="240" w:lineRule="auto"/>
              <w:ind w:firstLine="0" w:firstLineChars="0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</w:rPr>
              <w:t>高端模具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、气动元件、特种电机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等。</w:t>
            </w:r>
          </w:p>
        </w:tc>
      </w:tr>
      <w:tr w14:paraId="29315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9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8C67A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eastAsia="方正仿宋简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生命健康</w:t>
            </w:r>
          </w:p>
        </w:tc>
        <w:tc>
          <w:tcPr>
            <w:tcW w:w="64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6307DD">
            <w:pPr>
              <w:snapToGrid w:val="0"/>
              <w:spacing w:line="240" w:lineRule="auto"/>
              <w:ind w:firstLine="0" w:firstLineChars="0"/>
              <w:rPr>
                <w:rFonts w:hint="default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医药产业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（化学药、生物技术药、中药）、医疗器械（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材料、医疗设备、辅助技术与系统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等</w:t>
            </w:r>
          </w:p>
        </w:tc>
      </w:tr>
      <w:tr w14:paraId="5C806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9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5C957A">
            <w:pPr>
              <w:snapToGrid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智能家居</w:t>
            </w:r>
          </w:p>
        </w:tc>
        <w:tc>
          <w:tcPr>
            <w:tcW w:w="64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EE6AB5">
            <w:pPr>
              <w:snapToGrid w:val="0"/>
              <w:spacing w:line="240" w:lineRule="auto"/>
              <w:ind w:firstLine="0" w:firstLineChars="0"/>
              <w:rPr>
                <w:rFonts w:hint="default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智能家居领域关键核心部件。</w:t>
            </w:r>
          </w:p>
        </w:tc>
      </w:tr>
      <w:tr w14:paraId="7C256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9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1293F0">
            <w:pPr>
              <w:snapToGrid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其他未来产业</w:t>
            </w:r>
          </w:p>
        </w:tc>
        <w:tc>
          <w:tcPr>
            <w:tcW w:w="64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66F72F">
            <w:pPr>
              <w:snapToGrid w:val="0"/>
              <w:spacing w:line="240" w:lineRule="auto"/>
              <w:ind w:firstLine="0" w:firstLineChars="0"/>
              <w:rPr>
                <w:rFonts w:hint="eastAsia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量子科技、具身智能、类脑智能、原子级制造、生物化工、碳捕获等领域的关键技术研发、核心零部件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和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终端产品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。</w:t>
            </w:r>
          </w:p>
        </w:tc>
      </w:tr>
    </w:tbl>
    <w:p w14:paraId="5D5E6F59">
      <w:pPr>
        <w:rPr>
          <w:rFonts w:cs="Times New Roman"/>
        </w:rPr>
      </w:pPr>
      <w:r>
        <w:rPr>
          <w:rFonts w:hint="eastAsia" w:ascii="方正楷体简体" w:hAnsi="方正楷体简体" w:eastAsia="方正楷体简体" w:cs="方正楷体简体"/>
          <w:kern w:val="0"/>
          <w:sz w:val="24"/>
          <w:szCs w:val="24"/>
          <w:lang w:val="en-US" w:eastAsia="zh-CN"/>
        </w:rPr>
        <w:t>详细赛道以申报系统为准</w:t>
      </w:r>
      <w:r>
        <w:rPr>
          <w:rFonts w:cs="Times New Roman"/>
        </w:rPr>
        <w:br w:type="page"/>
      </w:r>
    </w:p>
    <w:p w14:paraId="4944CF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0" w:afterLines="50"/>
        <w:ind w:firstLine="0" w:firstLineChars="0"/>
        <w:jc w:val="center"/>
        <w:textAlignment w:val="auto"/>
        <w:rPr>
          <w:rFonts w:hint="eastAsia" w:eastAsia="方正小标宋简体" w:cs="Times New Roman"/>
          <w:sz w:val="44"/>
          <w:szCs w:val="44"/>
        </w:rPr>
      </w:pPr>
      <w:r>
        <w:rPr>
          <w:rFonts w:hint="eastAsia" w:eastAsia="方正小标宋简体" w:cs="Times New Roman"/>
          <w:sz w:val="44"/>
          <w:szCs w:val="44"/>
        </w:rPr>
        <w:t>高校科研项目重点支持赛道</w:t>
      </w:r>
    </w:p>
    <w:tbl>
      <w:tblPr>
        <w:tblStyle w:val="5"/>
        <w:tblW w:w="85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9"/>
        <w:gridCol w:w="6350"/>
      </w:tblGrid>
      <w:tr w14:paraId="0D3BD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2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5CCD14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eastAsia="方正黑体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简体" w:cs="Times New Roman"/>
                <w:kern w:val="0"/>
                <w:sz w:val="24"/>
                <w:szCs w:val="24"/>
                <w:lang w:val="en-US" w:eastAsia="zh-CN"/>
              </w:rPr>
              <w:t>主赛道</w:t>
            </w:r>
          </w:p>
        </w:tc>
        <w:tc>
          <w:tcPr>
            <w:tcW w:w="6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2086B7"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eastAsia="方正黑体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简体" w:cs="Times New Roman"/>
                <w:kern w:val="0"/>
                <w:sz w:val="24"/>
                <w:szCs w:val="24"/>
                <w:lang w:val="en-US" w:eastAsia="zh-CN"/>
              </w:rPr>
              <w:t>关联学科专业</w:t>
            </w:r>
          </w:p>
        </w:tc>
      </w:tr>
      <w:tr w14:paraId="4CCA8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22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D7EF72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新一代信息技术</w:t>
            </w:r>
          </w:p>
        </w:tc>
        <w:tc>
          <w:tcPr>
            <w:tcW w:w="6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F89062">
            <w:pPr>
              <w:snapToGrid w:val="0"/>
              <w:spacing w:line="240" w:lineRule="auto"/>
              <w:ind w:firstLine="0" w:firstLineChars="0"/>
              <w:rPr>
                <w:rFonts w:hint="eastAsia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信息与通信工程、计算机科学与技术、测绘科学与技术、电子科学与技术、软件工程、网络空间安全、电子信息、其他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 w14:paraId="59988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  <w:jc w:val="center"/>
        </w:trPr>
        <w:tc>
          <w:tcPr>
            <w:tcW w:w="22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6EBEAB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高端装备</w:t>
            </w:r>
          </w:p>
        </w:tc>
        <w:tc>
          <w:tcPr>
            <w:tcW w:w="6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64C4E7">
            <w:pPr>
              <w:snapToGrid w:val="0"/>
              <w:spacing w:line="240" w:lineRule="auto"/>
              <w:ind w:firstLine="0" w:firstLineChars="0"/>
              <w:rPr>
                <w:rFonts w:hint="eastAsia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机械工程、光学工程、材料科学与工程、仪器科学与技术、控制科学与工程、动力工程及工程热物理、电气工程、交通运输、机械工程（智能制造）、其他。</w:t>
            </w:r>
          </w:p>
        </w:tc>
      </w:tr>
      <w:tr w14:paraId="7ECCB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2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6A3562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现代消费与健康</w:t>
            </w:r>
          </w:p>
        </w:tc>
        <w:tc>
          <w:tcPr>
            <w:tcW w:w="6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B9FCA2">
            <w:pPr>
              <w:snapToGrid w:val="0"/>
              <w:spacing w:line="240" w:lineRule="auto"/>
              <w:ind w:firstLine="0" w:firstLineChars="0"/>
              <w:rPr>
                <w:rFonts w:hint="eastAsia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水产、生物医学工程、食品科学与工程、生物工程、纺织科学与工程、轻工技术与工程、兽医学、林学、农业、食品与营养、基础医学、临床医学、口腔医学、公共卫生与预防医学、中医学、中西医结合、药学、护理学、其他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 w14:paraId="3CFBB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22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542627">
            <w:pPr>
              <w:snapToGrid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绿色石化与新材料</w:t>
            </w:r>
          </w:p>
        </w:tc>
        <w:tc>
          <w:tcPr>
            <w:tcW w:w="6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6F8BC9">
            <w:pPr>
              <w:snapToGrid w:val="0"/>
              <w:spacing w:line="240" w:lineRule="auto"/>
              <w:ind w:firstLine="0" w:firstLineChars="0"/>
              <w:rPr>
                <w:rFonts w:hint="eastAsia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化学、化学工程与技术、纳米科学与工程、材料与化工、能源动力、土木水利、船舶与海洋工程、航空宇航科学与技术、环境科学与工程、资源环境与安全、其他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 w14:paraId="7E40C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22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5EFAAD">
            <w:pPr>
              <w:snapToGrid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人工智能</w:t>
            </w:r>
          </w:p>
        </w:tc>
        <w:tc>
          <w:tcPr>
            <w:tcW w:w="6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B9BB72">
            <w:pPr>
              <w:snapToGrid w:val="0"/>
              <w:spacing w:line="240" w:lineRule="auto"/>
              <w:ind w:firstLine="0" w:firstLineChars="0"/>
              <w:rPr>
                <w:rFonts w:hint="eastAsia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集成电路科学与工程、遥感科学与技术、智能科学与技术、其他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 w14:paraId="00A76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22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4549FC">
            <w:pPr>
              <w:snapToGrid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基础学科</w:t>
            </w:r>
          </w:p>
        </w:tc>
        <w:tc>
          <w:tcPr>
            <w:tcW w:w="6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A851D7">
            <w:pPr>
              <w:snapToGrid w:val="0"/>
              <w:spacing w:line="240" w:lineRule="auto"/>
              <w:ind w:firstLine="0" w:firstLineChars="0"/>
              <w:rPr>
                <w:rFonts w:hint="eastAsia" w:eastAsia="方正仿宋简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数学、物理学、其他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 w14:paraId="16AF8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22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0D05DA"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力学专项</w:t>
            </w:r>
          </w:p>
          <w:p w14:paraId="6DBF9E95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（“双一流”学科）</w:t>
            </w:r>
          </w:p>
        </w:tc>
        <w:tc>
          <w:tcPr>
            <w:tcW w:w="6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AB960F">
            <w:pPr>
              <w:snapToGrid w:val="0"/>
              <w:spacing w:line="240" w:lineRule="auto"/>
              <w:ind w:firstLine="0" w:firstLineChars="0"/>
              <w:rPr>
                <w:rFonts w:hint="default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力学、其他。</w:t>
            </w:r>
          </w:p>
        </w:tc>
      </w:tr>
    </w:tbl>
    <w:p w14:paraId="0107B7E1">
      <w:pPr>
        <w:rPr>
          <w:rFonts w:cs="Times New Roman"/>
        </w:rPr>
      </w:pPr>
      <w:r>
        <w:rPr>
          <w:rFonts w:hint="eastAsia" w:ascii="方正楷体简体" w:hAnsi="方正楷体简体" w:eastAsia="方正楷体简体" w:cs="方正楷体简体"/>
          <w:kern w:val="0"/>
          <w:sz w:val="24"/>
          <w:szCs w:val="24"/>
          <w:lang w:val="en-US" w:eastAsia="zh-CN"/>
        </w:rPr>
        <w:t>详细赛道以申报系统为准</w:t>
      </w:r>
      <w:r>
        <w:rPr>
          <w:rFonts w:cs="Times New Roman"/>
        </w:rPr>
        <w:br w:type="page"/>
      </w:r>
    </w:p>
    <w:p w14:paraId="504502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0" w:afterLines="50"/>
        <w:ind w:firstLine="0" w:firstLineChars="0"/>
        <w:jc w:val="center"/>
        <w:textAlignment w:val="auto"/>
        <w:rPr>
          <w:rFonts w:hint="eastAsia" w:eastAsia="方正小标宋简体" w:cs="Times New Roman"/>
          <w:sz w:val="44"/>
          <w:szCs w:val="44"/>
        </w:rPr>
      </w:pPr>
      <w:r>
        <w:rPr>
          <w:rFonts w:hint="eastAsia" w:eastAsia="方正小标宋简体" w:cs="Times New Roman"/>
          <w:sz w:val="44"/>
          <w:szCs w:val="44"/>
        </w:rPr>
        <w:t>院所科研项目重点支持赛道</w:t>
      </w:r>
    </w:p>
    <w:tbl>
      <w:tblPr>
        <w:tblStyle w:val="5"/>
        <w:tblW w:w="85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6379"/>
      </w:tblGrid>
      <w:tr w14:paraId="5D2F3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22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BACFA6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eastAsia="方正黑体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简体" w:cs="Times New Roman"/>
                <w:kern w:val="0"/>
                <w:sz w:val="24"/>
                <w:szCs w:val="24"/>
                <w:lang w:val="en-US" w:eastAsia="zh-CN"/>
              </w:rPr>
              <w:t>主赛道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047D27">
            <w:pPr>
              <w:snapToGrid w:val="0"/>
              <w:spacing w:line="240" w:lineRule="auto"/>
              <w:ind w:firstLine="0" w:firstLineChars="0"/>
              <w:jc w:val="center"/>
              <w:rPr>
                <w:rFonts w:hint="default" w:eastAsia="方正黑体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eastAsia="方正黑体简体" w:cs="Times New Roman"/>
                <w:kern w:val="0"/>
                <w:sz w:val="24"/>
                <w:szCs w:val="24"/>
              </w:rPr>
              <w:t>重点支持</w:t>
            </w:r>
            <w:r>
              <w:rPr>
                <w:rFonts w:hint="eastAsia" w:eastAsia="方正黑体简体" w:cs="Times New Roman"/>
                <w:kern w:val="0"/>
                <w:sz w:val="24"/>
                <w:szCs w:val="24"/>
                <w:lang w:val="en-US" w:eastAsia="zh-CN"/>
              </w:rPr>
              <w:t>方向</w:t>
            </w:r>
          </w:p>
        </w:tc>
      </w:tr>
      <w:tr w14:paraId="28FC9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22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B4B153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新材料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6017B3">
            <w:pPr>
              <w:snapToGrid w:val="0"/>
              <w:spacing w:line="240" w:lineRule="auto"/>
              <w:ind w:firstLine="0" w:firstLineChars="0"/>
              <w:rPr>
                <w:rFonts w:hint="eastAsia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稀土磁性材料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电子信息材料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化工新材料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海洋与空天材料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材料关键共性技术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等。</w:t>
            </w:r>
          </w:p>
        </w:tc>
      </w:tr>
      <w:tr w14:paraId="79FCA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22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B05E30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人工智能与大数据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B43E1E">
            <w:pPr>
              <w:snapToGrid w:val="0"/>
              <w:spacing w:line="240" w:lineRule="auto"/>
              <w:ind w:firstLine="0" w:firstLineChars="0"/>
              <w:rPr>
                <w:rFonts w:hint="eastAsia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智能计算与人工智能、智能设计、网络通信与数据信息安全、软件与互联网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等。</w:t>
            </w:r>
          </w:p>
        </w:tc>
      </w:tr>
      <w:tr w14:paraId="23C84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22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1514D9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高端装备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6D7E3A">
            <w:pPr>
              <w:snapToGrid w:val="0"/>
              <w:spacing w:line="240" w:lineRule="auto"/>
              <w:ind w:firstLine="0" w:firstLineChars="0"/>
              <w:rPr>
                <w:rFonts w:hint="default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简体" w:cs="Times New Roman"/>
                <w:kern w:val="0"/>
                <w:sz w:val="24"/>
                <w:szCs w:val="24"/>
                <w:lang w:val="en-US" w:eastAsia="zh-CN"/>
              </w:rPr>
              <w:t>微电子与光电子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eastAsia="方正仿宋简体" w:cs="Times New Roman"/>
                <w:kern w:val="0"/>
                <w:sz w:val="24"/>
                <w:szCs w:val="24"/>
                <w:lang w:val="en-US" w:eastAsia="zh-CN"/>
              </w:rPr>
              <w:t>航空航天与海工装备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eastAsia="方正仿宋简体" w:cs="Times New Roman"/>
                <w:kern w:val="0"/>
                <w:sz w:val="24"/>
                <w:szCs w:val="24"/>
                <w:lang w:val="en-US" w:eastAsia="zh-CN"/>
              </w:rPr>
              <w:t>关键基础件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eastAsia="方正仿宋简体" w:cs="Times New Roman"/>
                <w:kern w:val="0"/>
                <w:sz w:val="24"/>
                <w:szCs w:val="24"/>
                <w:lang w:val="en-US" w:eastAsia="zh-CN"/>
              </w:rPr>
              <w:t>智能装备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等。</w:t>
            </w:r>
          </w:p>
        </w:tc>
      </w:tr>
      <w:tr w14:paraId="6F494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22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A4E456">
            <w:pPr>
              <w:snapToGrid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新能源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A5F6C6">
            <w:pPr>
              <w:snapToGrid w:val="0"/>
              <w:spacing w:line="240" w:lineRule="auto"/>
              <w:ind w:firstLine="0" w:firstLineChars="0"/>
              <w:rPr>
                <w:rFonts w:hint="default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新型电池与储能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新一代风光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氢能及应用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智慧能源及系统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等。</w:t>
            </w:r>
          </w:p>
        </w:tc>
      </w:tr>
      <w:tr w14:paraId="268F4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22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EA36F5">
            <w:pPr>
              <w:snapToGrid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生命健康</w:t>
            </w:r>
          </w:p>
        </w:tc>
        <w:tc>
          <w:tcPr>
            <w:tcW w:w="6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1AC03C">
            <w:pPr>
              <w:snapToGrid w:val="0"/>
              <w:spacing w:line="240" w:lineRule="auto"/>
              <w:ind w:firstLine="0" w:firstLineChars="0"/>
              <w:rPr>
                <w:rFonts w:hint="eastAsia" w:eastAsia="方正仿宋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</w:rPr>
              <w:t>高端医疗器械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原创新药及特色中药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未来诊疗与精准医学</w:t>
            </w:r>
            <w:r>
              <w:rPr>
                <w:rFonts w:hint="eastAsia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Times New Roman"/>
                <w:kern w:val="0"/>
                <w:sz w:val="24"/>
                <w:szCs w:val="24"/>
              </w:rPr>
              <w:t>生物育种与现代农业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等。</w:t>
            </w:r>
          </w:p>
        </w:tc>
      </w:tr>
    </w:tbl>
    <w:p w14:paraId="0AAA5754">
      <w:r>
        <w:rPr>
          <w:rFonts w:hint="eastAsia" w:ascii="方正楷体简体" w:hAnsi="方正楷体简体" w:eastAsia="方正楷体简体" w:cs="方正楷体简体"/>
          <w:kern w:val="0"/>
          <w:sz w:val="24"/>
          <w:szCs w:val="24"/>
          <w:lang w:val="en-US" w:eastAsia="zh-CN"/>
        </w:rPr>
        <w:t>详细赛道以申报系统为准</w:t>
      </w:r>
      <w:r>
        <w:br w:type="page"/>
      </w:r>
    </w:p>
    <w:p w14:paraId="3BBFD9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0" w:afterLines="50"/>
        <w:ind w:firstLine="0" w:firstLineChars="0"/>
        <w:jc w:val="center"/>
        <w:textAlignment w:val="auto"/>
        <w:rPr>
          <w:rFonts w:hint="eastAsia" w:eastAsia="方正小标宋简体" w:cs="Times New Roman"/>
          <w:sz w:val="44"/>
          <w:szCs w:val="44"/>
        </w:rPr>
      </w:pPr>
      <w:r>
        <w:rPr>
          <w:rFonts w:hint="eastAsia" w:eastAsia="方正小标宋简体" w:cs="Times New Roman"/>
          <w:sz w:val="44"/>
          <w:szCs w:val="44"/>
          <w:lang w:val="en-US" w:eastAsia="zh-CN"/>
        </w:rPr>
        <w:t>现代服务业项目</w:t>
      </w:r>
      <w:r>
        <w:rPr>
          <w:rFonts w:hint="eastAsia" w:eastAsia="方正小标宋简体" w:cs="Times New Roman"/>
          <w:sz w:val="44"/>
          <w:szCs w:val="44"/>
        </w:rPr>
        <w:t>重点支持赛道</w:t>
      </w:r>
    </w:p>
    <w:tbl>
      <w:tblPr>
        <w:tblStyle w:val="5"/>
        <w:tblW w:w="83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6"/>
        <w:gridCol w:w="6215"/>
      </w:tblGrid>
      <w:tr w14:paraId="09995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71C7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default" w:eastAsia="方正黑体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简体" w:cs="Times New Roman"/>
                <w:kern w:val="0"/>
                <w:sz w:val="24"/>
                <w:szCs w:val="24"/>
                <w:lang w:val="en-US" w:eastAsia="zh-CN"/>
              </w:rPr>
              <w:t>主赛道</w:t>
            </w:r>
          </w:p>
        </w:tc>
        <w:tc>
          <w:tcPr>
            <w:tcW w:w="6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648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default" w:eastAsia="方正黑体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eastAsia="方正黑体简体" w:cs="Times New Roman"/>
                <w:kern w:val="0"/>
                <w:sz w:val="24"/>
                <w:szCs w:val="24"/>
              </w:rPr>
              <w:t>重点支持</w:t>
            </w:r>
            <w:r>
              <w:rPr>
                <w:rFonts w:hint="eastAsia" w:eastAsia="方正黑体简体" w:cs="Times New Roman"/>
                <w:kern w:val="0"/>
                <w:sz w:val="24"/>
                <w:szCs w:val="24"/>
                <w:lang w:val="en-US" w:eastAsia="zh-CN"/>
              </w:rPr>
              <w:t>方向</w:t>
            </w:r>
          </w:p>
        </w:tc>
      </w:tr>
      <w:tr w14:paraId="1A02F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6714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电子商务</w:t>
            </w:r>
          </w:p>
        </w:tc>
        <w:tc>
          <w:tcPr>
            <w:tcW w:w="6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312B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default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大型电子商务平台企业或团队、电子商务新业态研究、直播电商机构、新技术（AI、AR、VR等）电商应用、其他。</w:t>
            </w:r>
          </w:p>
        </w:tc>
      </w:tr>
      <w:tr w14:paraId="65173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2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9227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港航物流</w:t>
            </w:r>
          </w:p>
        </w:tc>
        <w:tc>
          <w:tcPr>
            <w:tcW w:w="6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A1B5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高端航运服务、智慧港航、绿色生态港口等，低空物流、冷链物流、智能仓储、供应链管理等；智慧高速、港口、机场等研究项目，交通工程工业化、港口航道规划等设施建设，无人驾驶、低空经济等相关技术。</w:t>
            </w:r>
          </w:p>
        </w:tc>
      </w:tr>
      <w:tr w14:paraId="7B8C6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8900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金融保险</w:t>
            </w:r>
          </w:p>
        </w:tc>
        <w:tc>
          <w:tcPr>
            <w:tcW w:w="6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A160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default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金融创新研究、高级管理人才，金融科技、金融服务等。</w:t>
            </w:r>
          </w:p>
        </w:tc>
      </w:tr>
      <w:tr w14:paraId="41EF2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883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人力资源</w:t>
            </w:r>
          </w:p>
        </w:tc>
        <w:tc>
          <w:tcPr>
            <w:tcW w:w="6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8BC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default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高端人才寻访、人力资源外包、人力资源测评、网络招聘、人力资源管理咨询、人力资源培训服务等。</w:t>
            </w:r>
          </w:p>
        </w:tc>
      </w:tr>
      <w:tr w14:paraId="633A1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B85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科技服务</w:t>
            </w:r>
          </w:p>
        </w:tc>
        <w:tc>
          <w:tcPr>
            <w:tcW w:w="6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5944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default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科技咨询、技术转移转化服务、检验检测认证、知识产权（知识产权规划与保护、专利布局）、创业孵化等。</w:t>
            </w:r>
          </w:p>
        </w:tc>
      </w:tr>
      <w:tr w14:paraId="589DA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57B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时尚创意</w:t>
            </w:r>
          </w:p>
        </w:tc>
        <w:tc>
          <w:tcPr>
            <w:tcW w:w="6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D326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default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工业设计、服装设计、机械设计、珠宝饰品设计、包装设计、工艺美术、品牌设计等。</w:t>
            </w:r>
          </w:p>
        </w:tc>
      </w:tr>
      <w:tr w14:paraId="77B69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2742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会计</w:t>
            </w:r>
          </w:p>
        </w:tc>
        <w:tc>
          <w:tcPr>
            <w:tcW w:w="6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D650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default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IPO等金融资本市场会计审计服务、涉外税务服务等。</w:t>
            </w:r>
          </w:p>
        </w:tc>
      </w:tr>
      <w:tr w14:paraId="1E4CD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  <w:jc w:val="center"/>
        </w:trPr>
        <w:tc>
          <w:tcPr>
            <w:tcW w:w="2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6B7A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法律</w:t>
            </w:r>
          </w:p>
        </w:tc>
        <w:tc>
          <w:tcPr>
            <w:tcW w:w="6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821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知识产权、IPO等金融资本市场法律服务、海事海商和涉外、反垄断、数据合规、人工智能及其他新兴领域等法律服务；公证（在线存取证、在线金融赋强）、鉴定（环境损害司法鉴定、痕迹鉴定、法医毒物鉴定）、仲裁（互联网在线仲裁、国际商事仲裁）</w:t>
            </w:r>
            <w:bookmarkStart w:id="0" w:name="_GoBack"/>
            <w:bookmarkEnd w:id="0"/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</w:tr>
      <w:tr w14:paraId="0AE66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998C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教育</w:t>
            </w:r>
          </w:p>
        </w:tc>
        <w:tc>
          <w:tcPr>
            <w:tcW w:w="6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4FF9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教育基础理论研究（教师专业发展，教育教学改革、教学成果）。</w:t>
            </w:r>
          </w:p>
        </w:tc>
      </w:tr>
      <w:tr w14:paraId="6328F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2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CEB9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规划</w:t>
            </w:r>
          </w:p>
        </w:tc>
        <w:tc>
          <w:tcPr>
            <w:tcW w:w="6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571B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AI赋能规划设计、宁波规划大模型、资源资产化及运营等规划细分领域；北斗导航、实景三维、无人机遥感等测绘细分领域。</w:t>
            </w:r>
          </w:p>
        </w:tc>
      </w:tr>
      <w:tr w14:paraId="399FC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3394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建筑</w:t>
            </w:r>
          </w:p>
        </w:tc>
        <w:tc>
          <w:tcPr>
            <w:tcW w:w="6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1C94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勘察设计、建筑节能等。</w:t>
            </w:r>
          </w:p>
        </w:tc>
      </w:tr>
      <w:tr w14:paraId="75995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07F3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文体</w:t>
            </w:r>
          </w:p>
        </w:tc>
        <w:tc>
          <w:tcPr>
            <w:tcW w:w="6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0FCB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青少年体育普及、高科技体育产业；文影视产业、有利于宁波开展国际传播的特色工艺美术类产业。</w:t>
            </w:r>
          </w:p>
        </w:tc>
      </w:tr>
      <w:tr w14:paraId="7A69B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F52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其他专业服务</w:t>
            </w:r>
          </w:p>
        </w:tc>
        <w:tc>
          <w:tcPr>
            <w:tcW w:w="621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7BD9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eastAsia" w:ascii="Times New Roman" w:hAnsi="Times New Roman" w:eastAsia="方正仿宋简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除会计、法律、人力资源以外的现代专业服务新业态新模式，包括养老康养、社会服务等新兴服务领域。</w:t>
            </w:r>
          </w:p>
        </w:tc>
      </w:tr>
    </w:tbl>
    <w:p w14:paraId="250CE31C">
      <w:pPr>
        <w:rPr>
          <w:rFonts w:hint="eastAsia" w:ascii="方正楷体简体" w:hAnsi="方正楷体简体" w:eastAsia="方正楷体简体" w:cs="方正楷体简体"/>
          <w:kern w:val="0"/>
          <w:sz w:val="24"/>
          <w:szCs w:val="24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kern w:val="0"/>
          <w:sz w:val="24"/>
          <w:szCs w:val="24"/>
          <w:lang w:val="en-US" w:eastAsia="zh-CN"/>
        </w:rPr>
        <w:t>详细赛道以申报系统为准</w:t>
      </w:r>
    </w:p>
    <w:p w14:paraId="27063856">
      <w:pPr>
        <w:spacing w:line="240" w:lineRule="auto"/>
        <w:ind w:firstLine="0" w:firstLineChars="0"/>
        <w:jc w:val="left"/>
        <w:rPr>
          <w:rFonts w:cs="Times New Roman"/>
        </w:rPr>
      </w:pPr>
    </w:p>
    <w:p w14:paraId="3500D961">
      <w:r>
        <w:br w:type="page"/>
      </w:r>
    </w:p>
    <w:p w14:paraId="189DF7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20" w:afterLines="50"/>
        <w:ind w:firstLine="0" w:firstLineChars="0"/>
        <w:jc w:val="center"/>
        <w:textAlignment w:val="auto"/>
      </w:pPr>
      <w:r>
        <w:rPr>
          <w:rFonts w:hint="eastAsia" w:eastAsia="方正小标宋简体" w:cs="Times New Roman"/>
          <w:sz w:val="44"/>
          <w:szCs w:val="44"/>
          <w:lang w:val="en-US" w:eastAsia="zh-CN"/>
        </w:rPr>
        <w:t>现代农业项目</w:t>
      </w:r>
      <w:r>
        <w:rPr>
          <w:rFonts w:hint="eastAsia" w:eastAsia="方正小标宋简体" w:cs="Times New Roman"/>
          <w:sz w:val="44"/>
          <w:szCs w:val="44"/>
        </w:rPr>
        <w:t>重点支持赛道</w:t>
      </w:r>
    </w:p>
    <w:tbl>
      <w:tblPr>
        <w:tblStyle w:val="5"/>
        <w:tblW w:w="8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7"/>
        <w:gridCol w:w="6232"/>
      </w:tblGrid>
      <w:tr w14:paraId="5BFFC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079A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default" w:eastAsia="方正黑体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简体" w:cs="Times New Roman"/>
                <w:kern w:val="0"/>
                <w:sz w:val="24"/>
                <w:szCs w:val="24"/>
                <w:lang w:val="en-US" w:eastAsia="zh-CN"/>
              </w:rPr>
              <w:t>主赛道</w:t>
            </w:r>
          </w:p>
        </w:tc>
        <w:tc>
          <w:tcPr>
            <w:tcW w:w="6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A7EC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default" w:eastAsia="方正黑体简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eastAsia="方正黑体简体" w:cs="Times New Roman"/>
                <w:kern w:val="0"/>
                <w:sz w:val="24"/>
                <w:szCs w:val="24"/>
              </w:rPr>
              <w:t>重点支持</w:t>
            </w:r>
            <w:r>
              <w:rPr>
                <w:rFonts w:hint="eastAsia" w:eastAsia="方正黑体简体" w:cs="Times New Roman"/>
                <w:kern w:val="0"/>
                <w:sz w:val="24"/>
                <w:szCs w:val="24"/>
                <w:lang w:val="en-US" w:eastAsia="zh-CN"/>
              </w:rPr>
              <w:t>方向</w:t>
            </w:r>
          </w:p>
        </w:tc>
      </w:tr>
      <w:tr w14:paraId="17C4D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4C18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现代种业</w:t>
            </w:r>
          </w:p>
        </w:tc>
        <w:tc>
          <w:tcPr>
            <w:tcW w:w="6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0D0A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品种选育、育种育苗技术研发与推广、海水养殖抗逆品系开发等。</w:t>
            </w:r>
          </w:p>
        </w:tc>
      </w:tr>
      <w:tr w14:paraId="1A328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6104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种养殖业</w:t>
            </w:r>
          </w:p>
        </w:tc>
        <w:tc>
          <w:tcPr>
            <w:tcW w:w="6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9AC1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高效生态种养殖技术、动植物病害防治等。</w:t>
            </w:r>
          </w:p>
        </w:tc>
      </w:tr>
      <w:tr w14:paraId="56574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E5B5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农产品加工</w:t>
            </w:r>
          </w:p>
        </w:tc>
        <w:tc>
          <w:tcPr>
            <w:tcW w:w="6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4E9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农产品粗加工、商品精加工、农业生物合成与制造等。</w:t>
            </w:r>
          </w:p>
        </w:tc>
      </w:tr>
      <w:tr w14:paraId="244D0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4F08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农产品质量与安全</w:t>
            </w:r>
          </w:p>
        </w:tc>
        <w:tc>
          <w:tcPr>
            <w:tcW w:w="6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EAC4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农业投入品研发与检测、食品安全与营养健康等。</w:t>
            </w:r>
          </w:p>
        </w:tc>
      </w:tr>
      <w:tr w14:paraId="0B0E1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AB34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数字农业及设施化</w:t>
            </w:r>
          </w:p>
        </w:tc>
        <w:tc>
          <w:tcPr>
            <w:tcW w:w="6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106A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设施农业与数字农业技术等。</w:t>
            </w:r>
          </w:p>
        </w:tc>
      </w:tr>
      <w:tr w14:paraId="3CF5A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AE6F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绿色发展</w:t>
            </w:r>
          </w:p>
        </w:tc>
        <w:tc>
          <w:tcPr>
            <w:tcW w:w="6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1619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农业农村废弃物资源化利用、农业农村可再生能源与节能减排技术、种养殖污染防治与环境质量检测等。</w:t>
            </w:r>
          </w:p>
        </w:tc>
      </w:tr>
      <w:tr w14:paraId="03F6E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07F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农产品销售及营销</w:t>
            </w:r>
          </w:p>
        </w:tc>
        <w:tc>
          <w:tcPr>
            <w:tcW w:w="6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6753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农产品销售与品牌营销等。</w:t>
            </w:r>
          </w:p>
        </w:tc>
      </w:tr>
      <w:tr w14:paraId="635A7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E8A0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6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91F1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textAlignment w:val="auto"/>
              <w:rPr>
                <w:rFonts w:hint="eastAsia" w:cs="Times New Roman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农田保护建设与农田水利技术、乡村策划运营等。</w:t>
            </w:r>
          </w:p>
        </w:tc>
      </w:tr>
    </w:tbl>
    <w:p w14:paraId="4F1AABB0">
      <w:pPr>
        <w:ind w:firstLine="640"/>
      </w:pPr>
      <w:r>
        <w:rPr>
          <w:rFonts w:hint="eastAsia" w:ascii="方正楷体简体" w:hAnsi="方正楷体简体" w:eastAsia="方正楷体简体" w:cs="方正楷体简体"/>
          <w:kern w:val="0"/>
          <w:sz w:val="24"/>
          <w:szCs w:val="24"/>
          <w:lang w:val="en-US" w:eastAsia="zh-CN"/>
        </w:rPr>
        <w:t>详细赛道以申报系统为准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701" w:bottom="1644" w:left="1701" w:header="851" w:footer="1304" w:gutter="0"/>
      <w:pgNumType w:fmt="numberInDash" w:start="1"/>
      <w:cols w:space="425" w:num="1"/>
      <w:docGrid w:type="lines" w:linePitch="437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C7FA9B">
    <w:pPr>
      <w:pStyle w:val="2"/>
      <w:ind w:firstLine="360"/>
      <w:jc w:val="center"/>
      <w:rPr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60935"/>
                          </w:sdtPr>
                          <w:sdtEndPr>
                            <w:rPr>
                              <w:sz w:val="24"/>
                              <w:szCs w:val="24"/>
                            </w:rPr>
                          </w:sdtEndPr>
                          <w:sdtContent>
                            <w:p w14:paraId="7B5149B3">
                              <w:pPr>
                                <w:pStyle w:val="2"/>
                                <w:ind w:firstLine="36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4"/>
                                  <w:szCs w:val="24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4"/>
                                  <w:szCs w:val="24"/>
                                  <w:lang w:val="zh-CN"/>
                                </w:rPr>
                                <w:t>43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79F46B0D">
                          <w:pPr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60935"/>
                    </w:sdtPr>
                    <w:sdtEndPr>
                      <w:rPr>
                        <w:sz w:val="24"/>
                        <w:szCs w:val="24"/>
                      </w:rPr>
                    </w:sdtEndPr>
                    <w:sdtContent>
                      <w:p w14:paraId="7B5149B3">
                        <w:pPr>
                          <w:pStyle w:val="2"/>
                          <w:ind w:firstLine="36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int="default" w:ascii="Times New Roman" w:hAnsi="Times New Roman" w:cs="Times New Roman"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rFonts w:hint="default" w:ascii="Times New Roman" w:hAnsi="Times New Roman" w:cs="Times New Roman"/>
                            <w:sz w:val="24"/>
                            <w:szCs w:val="24"/>
                          </w:rPr>
                          <w:instrText xml:space="preserve">PAGE   \* MERGEFORMAT</w:instrText>
                        </w:r>
                        <w:r>
                          <w:rPr>
                            <w:rFonts w:hint="default" w:ascii="Times New Roman" w:hAnsi="Times New Roman" w:cs="Times New Roman"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rFonts w:hint="default" w:ascii="Times New Roman" w:hAnsi="Times New Roman" w:cs="Times New Roman"/>
                            <w:sz w:val="24"/>
                            <w:szCs w:val="24"/>
                            <w:lang w:val="zh-CN"/>
                          </w:rPr>
                          <w:t>43</w:t>
                        </w:r>
                        <w:r>
                          <w:rPr>
                            <w:rFonts w:hint="default" w:ascii="Times New Roman" w:hAnsi="Times New Roman" w:cs="Times New Roman"/>
                            <w:sz w:val="24"/>
                            <w:szCs w:val="24"/>
                          </w:rPr>
                          <w:fldChar w:fldCharType="end"/>
                        </w:r>
                      </w:p>
                    </w:sdtContent>
                  </w:sdt>
                  <w:p w14:paraId="79F46B0D">
                    <w:pPr>
                      <w:rPr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271262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B5C85A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8EB9B"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E2942F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D82733"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7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981"/>
    <w:rsid w:val="00065A8B"/>
    <w:rsid w:val="00114B81"/>
    <w:rsid w:val="004D580A"/>
    <w:rsid w:val="00A60981"/>
    <w:rsid w:val="00DC50BB"/>
    <w:rsid w:val="15CE4F25"/>
    <w:rsid w:val="1B0F68A3"/>
    <w:rsid w:val="47792659"/>
    <w:rsid w:val="66290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80" w:lineRule="exact"/>
      <w:ind w:firstLine="200" w:firstLineChars="200"/>
      <w:jc w:val="both"/>
    </w:pPr>
    <w:rPr>
      <w:rFonts w:ascii="Times New Roman" w:hAnsi="Times New Roman" w:eastAsia="方正仿宋简体" w:cstheme="maj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Title"/>
    <w:basedOn w:val="1"/>
    <w:next w:val="1"/>
    <w:link w:val="8"/>
    <w:qFormat/>
    <w:uiPriority w:val="10"/>
    <w:pPr>
      <w:spacing w:before="240" w:after="60"/>
      <w:ind w:firstLine="0" w:firstLineChars="0"/>
      <w:jc w:val="center"/>
      <w:outlineLvl w:val="0"/>
    </w:pPr>
    <w:rPr>
      <w:rFonts w:asciiTheme="majorHAnsi" w:hAnsiTheme="majorHAnsi" w:eastAsiaTheme="majorEastAsia"/>
      <w:b/>
      <w:bCs/>
    </w:rPr>
  </w:style>
  <w:style w:type="paragraph" w:customStyle="1" w:styleId="7">
    <w:name w:val="公文模版"/>
    <w:basedOn w:val="4"/>
    <w:autoRedefine/>
    <w:qFormat/>
    <w:uiPriority w:val="0"/>
    <w:pPr>
      <w:spacing w:before="0" w:after="0"/>
    </w:pPr>
    <w:rPr>
      <w:rFonts w:eastAsia="方正小标宋简体"/>
      <w:sz w:val="44"/>
    </w:rPr>
  </w:style>
  <w:style w:type="character" w:customStyle="1" w:styleId="8">
    <w:name w:val="标题 字符"/>
    <w:basedOn w:val="6"/>
    <w:link w:val="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1">
    <w:name w:val="font21"/>
    <w:basedOn w:val="6"/>
    <w:qFormat/>
    <w:uiPriority w:val="0"/>
    <w:rPr>
      <w:rFonts w:ascii="方正仿宋简体" w:hAnsi="方正仿宋简体" w:eastAsia="方正仿宋简体" w:cs="方正仿宋简体"/>
      <w:color w:val="000000"/>
      <w:sz w:val="28"/>
      <w:szCs w:val="28"/>
      <w:u w:val="none"/>
    </w:rPr>
  </w:style>
  <w:style w:type="character" w:customStyle="1" w:styleId="12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1830</Words>
  <Characters>1838</Characters>
  <Lines>4</Lines>
  <Paragraphs>1</Paragraphs>
  <TotalTime>1</TotalTime>
  <ScaleCrop>false</ScaleCrop>
  <LinksUpToDate>false</LinksUpToDate>
  <CharactersWithSpaces>1838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2023-10-20T08:07:00Z</dcterms:created>
  <dc:creator>Leon Mark</dc:creator>
  <cp:lastModifiedBy>李宇航</cp:lastModifiedBy>
  <dcterms:modified xsi:type="dcterms:W3CDTF">2025-01-24T08:18:41Z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eyJoZGlkIjoiYzUyMDQzMDdmNGUxNDBmMmQzZDhhNGRkOTFhODlhMzAiLCJ1c2VySWQiOiI0MjM3MDQwODMifQ==</vt:lpwstr>
  </property>
  <property fmtid="{D5CDD505-2E9C-101B-9397-08002B2CF9AE}" pid="3" name="KSOProductBuildVer">
    <vt:lpwstr>2052-12.1.0.19302</vt:lpwstr>
  </property>
  <property fmtid="{D5CDD505-2E9C-101B-9397-08002B2CF9AE}" pid="4" name="ICV">
    <vt:lpwstr>E9C2F92BA525452DA59DC620AD111F55_12</vt:lpwstr>
  </property>
</Properties>
</file>